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CB" w:rsidRPr="00666DCB" w:rsidRDefault="00666DCB" w:rsidP="00666DCB">
      <w:pPr>
        <w:bidi/>
        <w:spacing w:after="120" w:line="360" w:lineRule="auto"/>
        <w:jc w:val="both"/>
        <w:rPr>
          <w:rFonts w:ascii="Times New Roman" w:eastAsia="Times New Roman" w:hAnsi="Times New Roman" w:cs="B Titr"/>
          <w:b/>
          <w:bCs/>
          <w:color w:val="E36C0A" w:themeColor="accent6" w:themeShade="BF"/>
          <w:sz w:val="28"/>
          <w:szCs w:val="28"/>
          <w:rtl/>
        </w:rPr>
      </w:pPr>
      <w:r w:rsidRPr="00666DCB">
        <w:rPr>
          <w:rFonts w:ascii="Times New Roman" w:eastAsia="Times New Roman" w:hAnsi="Times New Roman" w:cs="B Titr" w:hint="cs"/>
          <w:b/>
          <w:bCs/>
          <w:color w:val="E36C0A" w:themeColor="accent6" w:themeShade="BF"/>
          <w:sz w:val="28"/>
          <w:szCs w:val="28"/>
          <w:rtl/>
        </w:rPr>
        <w:t xml:space="preserve">برنامه هاي </w:t>
      </w:r>
      <w:r w:rsidRPr="00666DCB">
        <w:rPr>
          <w:rFonts w:ascii="Times New Roman" w:eastAsia="Times New Roman" w:hAnsi="Times New Roman" w:cs="B Titr" w:hint="cs"/>
          <w:b/>
          <w:bCs/>
          <w:color w:val="E36C0A" w:themeColor="accent6" w:themeShade="BF"/>
          <w:sz w:val="28"/>
          <w:szCs w:val="28"/>
          <w:rtl/>
          <w:lang w:bidi="fa-IR"/>
        </w:rPr>
        <w:t xml:space="preserve">آتی و </w:t>
      </w:r>
      <w:r w:rsidRPr="00666DCB">
        <w:rPr>
          <w:rFonts w:ascii="Times New Roman" w:eastAsia="Times New Roman" w:hAnsi="Times New Roman" w:cs="B Titr" w:hint="cs"/>
          <w:b/>
          <w:bCs/>
          <w:color w:val="E36C0A" w:themeColor="accent6" w:themeShade="BF"/>
          <w:sz w:val="28"/>
          <w:szCs w:val="28"/>
          <w:rtl/>
        </w:rPr>
        <w:t>توسعه اي بخش های مختلف :</w:t>
      </w:r>
    </w:p>
    <w:p w:rsidR="00666DCB" w:rsidRPr="00666DCB" w:rsidRDefault="00666DCB" w:rsidP="00666DCB">
      <w:pPr>
        <w:bidi/>
        <w:spacing w:after="120" w:line="360" w:lineRule="auto"/>
        <w:jc w:val="both"/>
        <w:rPr>
          <w:rFonts w:ascii="Times New Roman" w:eastAsia="Times New Roman" w:hAnsi="Times New Roman" w:cs="B Titr" w:hint="cs"/>
          <w:b/>
          <w:bCs/>
          <w:color w:val="215868" w:themeColor="accent5" w:themeShade="80"/>
          <w:sz w:val="10"/>
          <w:szCs w:val="10"/>
          <w:rtl/>
        </w:rPr>
      </w:pPr>
    </w:p>
    <w:p w:rsidR="00666DCB" w:rsidRPr="00666DCB" w:rsidRDefault="00666DCB" w:rsidP="00666DCB">
      <w:pPr>
        <w:bidi/>
        <w:spacing w:after="120" w:line="360" w:lineRule="auto"/>
        <w:jc w:val="both"/>
        <w:rPr>
          <w:rFonts w:ascii="Times New Roman" w:eastAsia="Times New Roman" w:hAnsi="Times New Roman" w:cs="B Zar" w:hint="cs"/>
          <w:b/>
          <w:bCs/>
          <w:color w:val="E36C0A" w:themeColor="accent6" w:themeShade="BF"/>
          <w:sz w:val="28"/>
          <w:szCs w:val="28"/>
          <w:rtl/>
        </w:rPr>
      </w:pPr>
      <w:r w:rsidRPr="00666DCB">
        <w:rPr>
          <w:rFonts w:ascii="Times New Roman" w:eastAsia="Times New Roman" w:hAnsi="Times New Roman" w:cs="B Zar" w:hint="cs"/>
          <w:b/>
          <w:bCs/>
          <w:color w:val="E36C0A" w:themeColor="accent6" w:themeShade="BF"/>
          <w:sz w:val="28"/>
          <w:szCs w:val="28"/>
          <w:rtl/>
        </w:rPr>
        <w:t>زراعت:</w:t>
      </w:r>
    </w:p>
    <w:p w:rsidR="00666DCB" w:rsidRPr="00666DCB" w:rsidRDefault="00666DCB" w:rsidP="00666DCB">
      <w:pPr>
        <w:bidi/>
        <w:spacing w:after="120" w:line="360" w:lineRule="auto"/>
        <w:jc w:val="both"/>
        <w:rPr>
          <w:rFonts w:ascii="2  Lotus" w:eastAsia="Times New Roman" w:hAnsi="2  Lotus" w:cs="Times New Roman" w:hint="cs"/>
          <w:b/>
          <w:bCs/>
          <w:color w:val="215868" w:themeColor="accent5" w:themeShade="80"/>
          <w:sz w:val="28"/>
          <w:szCs w:val="28"/>
          <w:rtl/>
        </w:rPr>
      </w:pPr>
      <w:r w:rsidRPr="00666DCB">
        <w:rPr>
          <w:rFonts w:ascii="2  Lotus" w:eastAsia="Times New Roman" w:hAnsi="2  Lotus" w:cs="Times New Roman"/>
          <w:color w:val="215868" w:themeColor="accent5" w:themeShade="80"/>
          <w:sz w:val="28"/>
          <w:szCs w:val="28"/>
          <w:rtl/>
        </w:rPr>
        <w:t>افزايش كمی و كيفی توليدات زراعی، رسيدن به توسعه و توليد پايدار ، استفاده بهينه از منابع و عوامل توليد و اجرای مديريت اصولی مزرعه ، جمع آوری و تجزيه و تحليل اطلاعات و آمار به منظور انجام برنامه ريزی های لازم مربوط به توسعه سطح زير كشت محصولات و افزايش ميزان توليد در واحد سطح ، شناسائی و تعيين نيازهای تحقيقاتی و اولويت های امور زراعی، تهيه طرح جامع كشت محصولات زراعی ، نظارت براجرای پروژه های زراعی و تهيه گزارش پيشرفت عمليات ، هدايت ، تشويق و حمايت از سرمايه گذاران</w:t>
      </w:r>
    </w:p>
    <w:p w:rsidR="00666DCB" w:rsidRPr="00666DCB" w:rsidRDefault="00666DCB" w:rsidP="00666DCB">
      <w:pPr>
        <w:bidi/>
        <w:spacing w:after="0" w:line="360" w:lineRule="auto"/>
        <w:rPr>
          <w:rFonts w:ascii="2  Lotus" w:eastAsia="Times New Roman" w:hAnsi="2  Lotus" w:cs="Times New Roman"/>
          <w:b/>
          <w:bCs/>
          <w:color w:val="E36C0A" w:themeColor="accent6" w:themeShade="BF"/>
          <w:sz w:val="28"/>
          <w:szCs w:val="28"/>
          <w:rtl/>
        </w:rPr>
      </w:pPr>
      <w:r w:rsidRPr="00666DCB">
        <w:rPr>
          <w:rFonts w:ascii="2  Lotus" w:eastAsia="Times New Roman" w:hAnsi="2  Lotus" w:cs="Times New Roman"/>
          <w:b/>
          <w:bCs/>
          <w:color w:val="E36C0A" w:themeColor="accent6" w:themeShade="BF"/>
          <w:sz w:val="28"/>
          <w:szCs w:val="28"/>
          <w:rtl/>
        </w:rPr>
        <w:t>باغباني:</w:t>
      </w:r>
    </w:p>
    <w:p w:rsidR="00666DCB" w:rsidRPr="00666DCB" w:rsidRDefault="00666DCB" w:rsidP="00666DCB">
      <w:pPr>
        <w:bidi/>
        <w:spacing w:after="0" w:line="360" w:lineRule="auto"/>
        <w:rPr>
          <w:rFonts w:ascii="Times New Roman" w:eastAsia="Times New Roman" w:hAnsi="Times New Roman" w:cs="B Zar"/>
          <w:color w:val="215868" w:themeColor="accent5" w:themeShade="80"/>
          <w:sz w:val="28"/>
          <w:szCs w:val="28"/>
          <w:rtl/>
        </w:rPr>
      </w:pP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 xml:space="preserve">- اصلاح و جایگزینی باغات </w:t>
      </w:r>
    </w:p>
    <w:p w:rsidR="00666DCB" w:rsidRPr="00666DCB" w:rsidRDefault="00666DCB" w:rsidP="00666DCB">
      <w:pPr>
        <w:bidi/>
        <w:spacing w:after="0" w:line="360" w:lineRule="auto"/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</w:pP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>-توسعه گلخانه های سبزی و صیفی</w:t>
      </w:r>
    </w:p>
    <w:p w:rsidR="00666DCB" w:rsidRPr="00666DCB" w:rsidRDefault="00666DCB" w:rsidP="00666DCB">
      <w:pPr>
        <w:bidi/>
        <w:spacing w:after="0" w:line="360" w:lineRule="auto"/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</w:pP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>-توسعه کارگاه های تولید قارچ خوراکی</w:t>
      </w:r>
    </w:p>
    <w:p w:rsidR="00666DCB" w:rsidRPr="00666DCB" w:rsidRDefault="00666DCB" w:rsidP="00666DCB">
      <w:pPr>
        <w:bidi/>
        <w:spacing w:after="0" w:line="360" w:lineRule="auto"/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</w:pP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>- توسعه باغات</w:t>
      </w:r>
    </w:p>
    <w:p w:rsidR="00666DCB" w:rsidRPr="00666DCB" w:rsidRDefault="00666DCB" w:rsidP="00666DCB">
      <w:pPr>
        <w:bidi/>
        <w:spacing w:after="0" w:line="360" w:lineRule="auto"/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</w:pP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>- افزایش کمی و کیفی محصولات باغی</w:t>
      </w:r>
    </w:p>
    <w:p w:rsidR="00666DCB" w:rsidRPr="00666DCB" w:rsidRDefault="00666DCB" w:rsidP="00666DCB">
      <w:pPr>
        <w:bidi/>
        <w:spacing w:after="0" w:line="360" w:lineRule="auto"/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</w:pPr>
    </w:p>
    <w:p w:rsidR="00666DCB" w:rsidRPr="00666DCB" w:rsidRDefault="00666DCB" w:rsidP="00666DCB">
      <w:pPr>
        <w:bidi/>
        <w:spacing w:after="120" w:line="360" w:lineRule="auto"/>
        <w:jc w:val="both"/>
        <w:rPr>
          <w:rFonts w:ascii="Times New Roman" w:eastAsia="Times New Roman" w:hAnsi="Times New Roman" w:cs="B Zar" w:hint="cs"/>
          <w:b/>
          <w:bCs/>
          <w:color w:val="E36C0A" w:themeColor="accent6" w:themeShade="BF"/>
          <w:sz w:val="28"/>
          <w:szCs w:val="28"/>
          <w:rtl/>
        </w:rPr>
      </w:pPr>
      <w:r w:rsidRPr="00666DCB">
        <w:rPr>
          <w:rFonts w:ascii="Times New Roman" w:eastAsia="Times New Roman" w:hAnsi="Times New Roman" w:cs="B Zar" w:hint="cs"/>
          <w:b/>
          <w:bCs/>
          <w:color w:val="E36C0A" w:themeColor="accent6" w:themeShade="BF"/>
          <w:sz w:val="28"/>
          <w:szCs w:val="28"/>
          <w:rtl/>
        </w:rPr>
        <w:t>اموردام:</w:t>
      </w:r>
    </w:p>
    <w:p w:rsidR="00666DCB" w:rsidRPr="00666DCB" w:rsidRDefault="00666DCB" w:rsidP="00666DCB">
      <w:pPr>
        <w:bidi/>
        <w:spacing w:after="120" w:line="360" w:lineRule="auto"/>
        <w:jc w:val="both"/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</w:pP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 xml:space="preserve"> افزایش ظرفیت واحدهای موجود دامداری از طریق توسعه کمی و کیفی - بهسازی اماکن دامی روستائی بهسازی ساختمان و تجهیزات واحدهای صنعتی طیور- بهینه سازی مصرف سوخت-افزایش واحدهای پرورش بلدرچین و شتر مرغ در سطح شهرستان-افزایش ظرفیت واحدهای مرغداری گوشتی و تخمگذار با ارتقاء بهره وری و تجهیز 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lastRenderedPageBreak/>
        <w:t xml:space="preserve">تاسیسات بدون توسعه کمی- ماهی دار نمودن استخرهای ذخیره آب کشاورزی-تجهیز و مکانیزه نمودن واحدهای پرورشی-پرورش ماهی در منابع آبی </w:t>
      </w:r>
      <w:r w:rsidRPr="00666DCB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rtl/>
        </w:rPr>
        <w:t>–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>ترویج مصرف آبزیان</w:t>
      </w:r>
    </w:p>
    <w:p w:rsidR="00666DCB" w:rsidRPr="00666DCB" w:rsidRDefault="00666DCB" w:rsidP="00666DCB">
      <w:pPr>
        <w:bidi/>
        <w:spacing w:after="120" w:line="360" w:lineRule="auto"/>
        <w:jc w:val="both"/>
        <w:rPr>
          <w:rFonts w:ascii="Times New Roman" w:eastAsia="Times New Roman" w:hAnsi="Times New Roman" w:cs="B Zar" w:hint="cs"/>
          <w:b/>
          <w:bCs/>
          <w:color w:val="E36C0A" w:themeColor="accent6" w:themeShade="BF"/>
          <w:sz w:val="28"/>
          <w:szCs w:val="28"/>
          <w:rtl/>
        </w:rPr>
      </w:pPr>
      <w:r w:rsidRPr="00666DCB">
        <w:rPr>
          <w:rFonts w:ascii="Times New Roman" w:eastAsia="Times New Roman" w:hAnsi="Times New Roman" w:cs="B Zar" w:hint="cs"/>
          <w:b/>
          <w:bCs/>
          <w:color w:val="E36C0A" w:themeColor="accent6" w:themeShade="BF"/>
          <w:sz w:val="28"/>
          <w:szCs w:val="28"/>
          <w:rtl/>
        </w:rPr>
        <w:t xml:space="preserve">صنايع كشاورزي : </w:t>
      </w:r>
    </w:p>
    <w:p w:rsidR="00666DCB" w:rsidRPr="00666DCB" w:rsidRDefault="00666DCB" w:rsidP="00666DCB">
      <w:pPr>
        <w:bidi/>
        <w:spacing w:after="120" w:line="360" w:lineRule="auto"/>
        <w:jc w:val="both"/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</w:pP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>امكان فرآوري ، بسته بندي و سورتينگ انواع محصولات كشاورزي ، امكان سرمايه گذاري هاي كلان ، ايجاد ارزش افزوده كالا ، تدوين برنامه راهبردي جهت مديريت صنايع تبديلي و تكميلي با توجه به ظرفيتهاي توليد ، بررسي وضعيت ضايعات محصولات غذايي و تعامل با واحدهاي مربوطه جهت دستيابي به راه حلهاي مناسب در جهت كاهش ضايعات ، تهيه و تدوين دستورالعملهاي فني لازم در زمينه احداث ، بهبود و توسعه صنايع غذايي كشاورزي در اين بخش مي باشد</w:t>
      </w:r>
    </w:p>
    <w:p w:rsidR="00666DCB" w:rsidRPr="00666DCB" w:rsidRDefault="00666DCB" w:rsidP="00666DCB">
      <w:pPr>
        <w:bidi/>
        <w:spacing w:after="120" w:line="360" w:lineRule="auto"/>
        <w:jc w:val="both"/>
        <w:rPr>
          <w:rFonts w:ascii="Times New Roman" w:eastAsia="Times New Roman" w:hAnsi="Times New Roman" w:cs="B Zar" w:hint="cs"/>
          <w:b/>
          <w:bCs/>
          <w:color w:val="E36C0A" w:themeColor="accent6" w:themeShade="BF"/>
          <w:sz w:val="28"/>
          <w:szCs w:val="28"/>
          <w:rtl/>
        </w:rPr>
      </w:pPr>
      <w:r w:rsidRPr="00666DCB">
        <w:rPr>
          <w:rFonts w:ascii="Times New Roman" w:eastAsia="Times New Roman" w:hAnsi="Times New Roman" w:cs="B Zar" w:hint="cs"/>
          <w:b/>
          <w:bCs/>
          <w:color w:val="E36C0A" w:themeColor="accent6" w:themeShade="BF"/>
          <w:sz w:val="28"/>
          <w:szCs w:val="28"/>
          <w:rtl/>
        </w:rPr>
        <w:t xml:space="preserve">امور آب و خاك و فني و مهندسي :  </w:t>
      </w:r>
    </w:p>
    <w:p w:rsidR="00666DCB" w:rsidRPr="00666DCB" w:rsidRDefault="00666DCB" w:rsidP="00666DCB">
      <w:pPr>
        <w:bidi/>
        <w:spacing w:after="120" w:line="360" w:lineRule="auto"/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</w:pPr>
      <w:r w:rsidRPr="00666DCB">
        <w:rPr>
          <w:rFonts w:ascii="Calibri" w:eastAsia="Times New Roman" w:hAnsi="Calibri" w:cs="Calibri"/>
          <w:color w:val="215868" w:themeColor="accent5" w:themeShade="80"/>
          <w:sz w:val="28"/>
          <w:szCs w:val="28"/>
        </w:rPr>
        <w:t xml:space="preserve">    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>اجرای سیستم های آبیاری تحت فشار- مطالعه و برنامه ريزي عمليات اصلاح مسير - پوشش انهارسنتي - مرمت ، لايروبي و نگهداري قنوات -  احداث زهکشهاي انتقال آبهاي سطحي مازاد - انجام عمليات اجراي</w:t>
      </w:r>
      <w:r w:rsidRPr="00666DCB">
        <w:rPr>
          <w:rFonts w:ascii="Calibri" w:eastAsia="Times New Roman" w:hAnsi="Calibri" w:cs="Calibri" w:hint="cs"/>
          <w:color w:val="215868" w:themeColor="accent5" w:themeShade="80"/>
          <w:sz w:val="28"/>
          <w:szCs w:val="28"/>
        </w:rPr>
        <w:t xml:space="preserve"> 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>پروژه هاي فرعي آبياري ، زهکشي مهار آبهاي سطحي با اجراي بندهاي انحرافي و سدهاي مخزني ،  تجهیز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  <w:lang w:bidi="fa-IR"/>
        </w:rPr>
        <w:t xml:space="preserve"> و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>نوسازي اراضي كشاورزي ، مديريت آب در مزارع ، احداث زهكشهاي سطحي و زيرزميني</w:t>
      </w:r>
      <w:r w:rsidRPr="00666DCB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rtl/>
        </w:rPr>
        <w:t> 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>در</w:t>
      </w:r>
      <w:r w:rsidRPr="00666DCB">
        <w:rPr>
          <w:rFonts w:ascii="Calibri" w:eastAsia="Times New Roman" w:hAnsi="Calibri" w:cs="Calibri" w:hint="cs"/>
          <w:color w:val="215868" w:themeColor="accent5" w:themeShade="80"/>
          <w:sz w:val="28"/>
          <w:szCs w:val="28"/>
        </w:rPr>
        <w:t xml:space="preserve"> 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 xml:space="preserve"> مناطق پرآب</w:t>
      </w:r>
      <w:r w:rsidRPr="00666DCB">
        <w:rPr>
          <w:rFonts w:ascii="Calibri" w:eastAsia="Times New Roman" w:hAnsi="Calibri" w:cs="Calibri"/>
          <w:color w:val="215868" w:themeColor="accent5" w:themeShade="80"/>
          <w:sz w:val="28"/>
          <w:szCs w:val="28"/>
        </w:rPr>
        <w:t xml:space="preserve">  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>، جلوگيري از پرت آب موجود با احداث كانال هاي آبياري ، لوله گذاري خطوط انتقال و ...</w:t>
      </w:r>
    </w:p>
    <w:p w:rsidR="00666DCB" w:rsidRPr="00666DCB" w:rsidRDefault="00666DCB" w:rsidP="00666DCB">
      <w:pPr>
        <w:bidi/>
        <w:spacing w:after="120" w:line="360" w:lineRule="auto"/>
        <w:rPr>
          <w:rFonts w:ascii="Times New Roman" w:eastAsia="Times New Roman" w:hAnsi="Times New Roman" w:cs="B Zar" w:hint="cs"/>
          <w:b/>
          <w:bCs/>
          <w:color w:val="E36C0A" w:themeColor="accent6" w:themeShade="BF"/>
          <w:sz w:val="28"/>
          <w:szCs w:val="28"/>
          <w:rtl/>
        </w:rPr>
      </w:pPr>
      <w:r w:rsidRPr="00666DCB">
        <w:rPr>
          <w:rFonts w:ascii="Times New Roman" w:eastAsia="Times New Roman" w:hAnsi="Times New Roman" w:cs="B Titr" w:hint="cs"/>
          <w:color w:val="215868" w:themeColor="accent5" w:themeShade="80"/>
          <w:sz w:val="28"/>
          <w:szCs w:val="28"/>
          <w:rtl/>
        </w:rPr>
        <w:t xml:space="preserve"> </w:t>
      </w:r>
      <w:r w:rsidRPr="00666DCB">
        <w:rPr>
          <w:rFonts w:ascii="Times New Roman" w:eastAsia="Times New Roman" w:hAnsi="Times New Roman" w:cs="B Zar" w:hint="cs"/>
          <w:b/>
          <w:bCs/>
          <w:color w:val="E36C0A" w:themeColor="accent6" w:themeShade="BF"/>
          <w:sz w:val="28"/>
          <w:szCs w:val="28"/>
          <w:rtl/>
        </w:rPr>
        <w:t xml:space="preserve">   امور فناوريهاي مكانيزه كشاورزي : </w:t>
      </w:r>
    </w:p>
    <w:p w:rsidR="00666DCB" w:rsidRPr="00666DCB" w:rsidRDefault="00666DCB" w:rsidP="00666DCB">
      <w:pPr>
        <w:bidi/>
        <w:spacing w:after="0" w:line="360" w:lineRule="auto"/>
        <w:ind w:left="360"/>
        <w:jc w:val="lowKashida"/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</w:pP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 xml:space="preserve">ايجاد مزارع الگوئي مكانيزه  با استفاده از ماشينها و ادوات جديد 2- توسعه ،تقويت،هدايت ،حمايت ونظارت بر واحدهاي ارائه خدمات مكانيزه 3- تهيه و محاسبه شاخص هاي مكانيزاسيون كشاورزي شهرستان ( درجه ، 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lastRenderedPageBreak/>
        <w:t>ضريب ، بهره وري و . . .) 4- تنظيم ،راه اندازي وآموزش كاربرد ماشين آلات و ادوات كشاورزي ونظارت بر اجراي صحيح عمليات مكانيزاسيون كشاورزي خصوصاً نظارت بر برداشت غلات 5- جمع آوري اطلاعات مورد نياز مكانيزاسيون شامل: ماشينها ، ادوات و تجهيزات مورد استفاده و كاربران آنها ، واحدهاي ارائه خدمات مكانيزه ، تعمير گاهها ، واحد هاي ساخت و فروشگا ههاي موجود در شهرستان 6- شناسايي متقاضيان موثر خريد ماشينها وادوات كشاورزي ومعرفي به سازمان مطابق سهميه شهرستان</w:t>
      </w:r>
    </w:p>
    <w:p w:rsidR="00666DCB" w:rsidRPr="00666DCB" w:rsidRDefault="00666DCB" w:rsidP="00666DCB">
      <w:pPr>
        <w:bidi/>
        <w:spacing w:after="0" w:line="360" w:lineRule="auto"/>
        <w:ind w:left="360"/>
        <w:jc w:val="lowKashida"/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  <w:lang w:bidi="fa-IR"/>
        </w:rPr>
      </w:pPr>
    </w:p>
    <w:p w:rsidR="00666DCB" w:rsidRPr="00666DCB" w:rsidRDefault="00666DCB" w:rsidP="00666DCB">
      <w:pPr>
        <w:bidi/>
        <w:spacing w:line="360" w:lineRule="auto"/>
        <w:jc w:val="both"/>
        <w:rPr>
          <w:rFonts w:ascii="Times New Roman" w:eastAsia="Times New Roman" w:hAnsi="Times New Roman" w:cs="B Zar" w:hint="cs"/>
          <w:b/>
          <w:bCs/>
          <w:color w:val="E36C0A" w:themeColor="accent6" w:themeShade="BF"/>
          <w:sz w:val="28"/>
          <w:szCs w:val="28"/>
          <w:rtl/>
        </w:rPr>
      </w:pPr>
      <w:r w:rsidRPr="00666DCB">
        <w:rPr>
          <w:rFonts w:ascii="Times New Roman" w:eastAsia="Times New Roman" w:hAnsi="Times New Roman" w:cs="B Zar" w:hint="cs"/>
          <w:b/>
          <w:bCs/>
          <w:color w:val="E36C0A" w:themeColor="accent6" w:themeShade="BF"/>
          <w:sz w:val="28"/>
          <w:szCs w:val="28"/>
          <w:rtl/>
        </w:rPr>
        <w:t xml:space="preserve">     امور اراضي شهرستان :  </w:t>
      </w:r>
    </w:p>
    <w:p w:rsidR="00666DCB" w:rsidRPr="00666DCB" w:rsidRDefault="00666DCB" w:rsidP="00666DCB">
      <w:pPr>
        <w:bidi/>
        <w:spacing w:line="360" w:lineRule="auto"/>
        <w:rPr>
          <w:rFonts w:ascii="Times New Roman" w:eastAsia="Times New Roman" w:hAnsi="Times New Roman" w:cs="B Zar"/>
          <w:color w:val="215868" w:themeColor="accent5" w:themeShade="80"/>
          <w:sz w:val="28"/>
          <w:szCs w:val="28"/>
        </w:rPr>
      </w:pP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 xml:space="preserve">      اجراي قانون حفظ كاربري اراضي زراعي و باغي جهت صيانت از عرصه هاي توليد دربخش</w:t>
      </w:r>
      <w:r w:rsidRPr="00666DCB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rtl/>
        </w:rPr>
        <w:t>  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 xml:space="preserve"> كشاورزي و</w:t>
      </w:r>
      <w:r w:rsidRPr="00666DCB">
        <w:rPr>
          <w:rFonts w:ascii="Calibri" w:eastAsia="Times New Roman" w:hAnsi="Calibri" w:cs="Calibri" w:hint="cs"/>
          <w:color w:val="215868" w:themeColor="accent5" w:themeShade="80"/>
          <w:sz w:val="28"/>
          <w:szCs w:val="28"/>
        </w:rPr>
        <w:t xml:space="preserve"> 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 xml:space="preserve">جلوگيري از  تخريب ، تبديل ، تفكيك و تغيير كاربري اراضي كشاورزي </w:t>
      </w:r>
    </w:p>
    <w:p w:rsidR="00666DCB" w:rsidRPr="00666DCB" w:rsidRDefault="00666DCB" w:rsidP="00666DCB">
      <w:pPr>
        <w:bidi/>
        <w:spacing w:after="120" w:line="360" w:lineRule="auto"/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  <w:lang w:bidi="fa-IR"/>
        </w:rPr>
      </w:pP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 xml:space="preserve"> تعيين تكليف متصرفين اراضي دولتي (خالصه </w:t>
      </w:r>
      <w:r w:rsidRPr="00666DCB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rtl/>
        </w:rPr>
        <w:t>–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 xml:space="preserve"> باير باقيمانده مرحله اول ) و اجراي قانون جلوگيري از خردشدن اراضي كشاورزي و ايجاد قطعات مناسب فني و اقتصادي</w:t>
      </w:r>
    </w:p>
    <w:p w:rsidR="00666DCB" w:rsidRPr="00666DCB" w:rsidRDefault="00666DCB" w:rsidP="00666DCB">
      <w:pPr>
        <w:bidi/>
        <w:spacing w:after="120" w:line="360" w:lineRule="auto"/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</w:pP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 xml:space="preserve">   </w:t>
      </w:r>
      <w:r w:rsidRPr="00666DCB">
        <w:rPr>
          <w:rFonts w:ascii="Calibri" w:eastAsia="Times New Roman" w:hAnsi="Calibri" w:cs="Calibri" w:hint="cs"/>
          <w:color w:val="215868" w:themeColor="accent5" w:themeShade="80"/>
          <w:sz w:val="28"/>
          <w:szCs w:val="28"/>
        </w:rPr>
        <w:t xml:space="preserve"> 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 xml:space="preserve">  استقرار دبيرخانه كميسون تبصره يك و چهار ماده يك قانون حفظ كاربري به منظور دريافت تقاضاي تغييركاربري اشخاص حقيقي و حقوقي و تكميل پرونده  </w:t>
      </w:r>
    </w:p>
    <w:p w:rsidR="00666DCB" w:rsidRPr="00666DCB" w:rsidRDefault="00666DCB" w:rsidP="00666DCB">
      <w:pPr>
        <w:bidi/>
        <w:spacing w:after="120" w:line="360" w:lineRule="auto"/>
        <w:rPr>
          <w:rFonts w:ascii="Times New Roman" w:eastAsia="Times New Roman" w:hAnsi="Times New Roman" w:cs="B Zar"/>
          <w:color w:val="215868" w:themeColor="accent5" w:themeShade="80"/>
          <w:sz w:val="28"/>
          <w:szCs w:val="28"/>
        </w:rPr>
      </w:pP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 xml:space="preserve">      بررسي و درخواست اشخاص حقيقي و حقوقي مبني بر واگذاري اراضي ملي و دولتي براي ايجاد و توسعه</w:t>
      </w:r>
      <w:r w:rsidRPr="00666DCB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rtl/>
        </w:rPr>
        <w:t> </w:t>
      </w: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>طرح هاي كشاورزي و غير كشاورزي با رعايت قوانين و مقررات</w:t>
      </w:r>
    </w:p>
    <w:p w:rsidR="00666DCB" w:rsidRPr="00666DCB" w:rsidRDefault="00666DCB" w:rsidP="00666DCB">
      <w:pPr>
        <w:bidi/>
        <w:spacing w:after="120" w:line="360" w:lineRule="auto"/>
        <w:rPr>
          <w:rFonts w:ascii="Times New Roman" w:eastAsia="Times New Roman" w:hAnsi="Times New Roman" w:cs="B Zar"/>
          <w:color w:val="215868" w:themeColor="accent5" w:themeShade="80"/>
          <w:sz w:val="28"/>
          <w:szCs w:val="28"/>
        </w:rPr>
      </w:pPr>
      <w:r w:rsidRPr="00666DCB">
        <w:rPr>
          <w:rFonts w:ascii="Times New Roman" w:eastAsia="Times New Roman" w:hAnsi="Times New Roman" w:cs="B Zar" w:hint="cs"/>
          <w:color w:val="215868" w:themeColor="accent5" w:themeShade="80"/>
          <w:sz w:val="28"/>
          <w:szCs w:val="28"/>
          <w:rtl/>
        </w:rPr>
        <w:t xml:space="preserve">      بازديد و نظارت بر مجوزه ها و موافقتنامه هاي صادر شده و ...</w:t>
      </w:r>
    </w:p>
    <w:p w:rsidR="00666DCB" w:rsidRPr="00666DCB" w:rsidRDefault="00666DCB" w:rsidP="00666DCB">
      <w:pPr>
        <w:bidi/>
        <w:spacing w:after="120" w:line="360" w:lineRule="auto"/>
        <w:rPr>
          <w:rFonts w:ascii="Times New Roman" w:eastAsia="Times New Roman" w:hAnsi="Times New Roman" w:cs="B Zar"/>
          <w:color w:val="215868" w:themeColor="accent5" w:themeShade="80"/>
          <w:sz w:val="28"/>
          <w:szCs w:val="28"/>
        </w:rPr>
      </w:pPr>
    </w:p>
    <w:p w:rsidR="00666DCB" w:rsidRPr="00666DCB" w:rsidRDefault="00666DCB" w:rsidP="00666DCB">
      <w:pPr>
        <w:bidi/>
        <w:spacing w:after="120" w:line="360" w:lineRule="auto"/>
        <w:ind w:left="284"/>
        <w:contextualSpacing/>
        <w:rPr>
          <w:rFonts w:ascii="Calibri" w:eastAsia="Times New Roman" w:hAnsi="Calibri" w:cs="B Titr"/>
          <w:b/>
          <w:bCs/>
          <w:color w:val="000000"/>
          <w:sz w:val="24"/>
          <w:szCs w:val="24"/>
        </w:rPr>
      </w:pPr>
      <w:r w:rsidRPr="00666DCB">
        <w:rPr>
          <w:rFonts w:ascii="Calibri" w:eastAsia="Times New Roman" w:hAnsi="Calibri" w:cs="B Zar" w:hint="cs"/>
          <w:b/>
          <w:bCs/>
          <w:color w:val="E36C0A" w:themeColor="accent6" w:themeShade="BF"/>
          <w:szCs w:val="28"/>
          <w:rtl/>
        </w:rPr>
        <w:lastRenderedPageBreak/>
        <w:t>حفظ نباتات</w:t>
      </w:r>
      <w:r w:rsidRPr="00666DCB">
        <w:rPr>
          <w:rFonts w:ascii="Calibri" w:eastAsia="Times New Roman" w:hAnsi="Calibri" w:cs="B Titr" w:hint="cs"/>
          <w:b/>
          <w:bCs/>
          <w:color w:val="215868" w:themeColor="accent5" w:themeShade="80"/>
          <w:szCs w:val="28"/>
          <w:rtl/>
        </w:rPr>
        <w:t xml:space="preserve"> : </w:t>
      </w:r>
    </w:p>
    <w:p w:rsidR="00666DCB" w:rsidRPr="00666DCB" w:rsidRDefault="00666DCB" w:rsidP="00666DCB">
      <w:pPr>
        <w:bidi/>
        <w:spacing w:after="120" w:line="360" w:lineRule="auto"/>
        <w:ind w:left="284"/>
        <w:contextualSpacing/>
        <w:rPr>
          <w:rFonts w:ascii="Tahoma" w:eastAsia="Times New Roman" w:hAnsi="Tahoma" w:cs="B Zar"/>
          <w:color w:val="000000"/>
          <w:sz w:val="24"/>
          <w:szCs w:val="24"/>
        </w:rPr>
      </w:pPr>
      <w:r w:rsidRPr="00666DCB">
        <w:rPr>
          <w:rFonts w:ascii="Tahoma" w:eastAsia="Times New Roman" w:hAnsi="Tahoma" w:cs="B Zar" w:hint="cs"/>
          <w:color w:val="215868" w:themeColor="accent5" w:themeShade="80"/>
          <w:sz w:val="28"/>
          <w:szCs w:val="28"/>
          <w:rtl/>
        </w:rPr>
        <w:t xml:space="preserve">قرنطينه ، پيش آگاهي ، مبارزه با عوامل خسارت زاي نباتي ، مبارزه  شيميايي و بيولوژيك با آفات و بيماريها ي انواع گياهان زراعي ، باغي و گلخانه ايي ، مبارزه با علف هاي هرز  مزارع و باغات ، ضد عفوني بذور و ... </w:t>
      </w:r>
    </w:p>
    <w:p w:rsidR="00666DCB" w:rsidRPr="00666DCB" w:rsidRDefault="00666DCB" w:rsidP="00666DCB">
      <w:pPr>
        <w:bidi/>
        <w:spacing w:after="120" w:line="360" w:lineRule="auto"/>
        <w:ind w:left="284"/>
        <w:contextualSpacing/>
        <w:rPr>
          <w:rFonts w:ascii="Tahoma" w:eastAsia="Times New Roman" w:hAnsi="Tahoma" w:cs="B Zar"/>
          <w:b/>
          <w:bCs/>
          <w:color w:val="E36C0A" w:themeColor="accent6" w:themeShade="BF"/>
          <w:sz w:val="28"/>
          <w:szCs w:val="28"/>
        </w:rPr>
      </w:pPr>
      <w:r w:rsidRPr="00666DCB">
        <w:rPr>
          <w:rFonts w:ascii="Tahoma" w:eastAsia="Times New Roman" w:hAnsi="Tahoma" w:cs="B Zar" w:hint="cs"/>
          <w:b/>
          <w:bCs/>
          <w:color w:val="E36C0A" w:themeColor="accent6" w:themeShade="BF"/>
          <w:sz w:val="28"/>
          <w:szCs w:val="28"/>
          <w:rtl/>
        </w:rPr>
        <w:t>ترويج  و آموزش كشاورزي :</w:t>
      </w:r>
    </w:p>
    <w:p w:rsidR="00666DCB" w:rsidRPr="00666DCB" w:rsidRDefault="00666DCB" w:rsidP="00666DCB">
      <w:pPr>
        <w:bidi/>
        <w:spacing w:after="120" w:line="360" w:lineRule="auto"/>
        <w:ind w:left="284"/>
        <w:contextualSpacing/>
        <w:rPr>
          <w:rFonts w:ascii="Tahoma" w:eastAsia="Times New Roman" w:hAnsi="Tahoma" w:cs="B Zar"/>
          <w:color w:val="215868" w:themeColor="accent5" w:themeShade="80"/>
          <w:sz w:val="28"/>
          <w:szCs w:val="28"/>
        </w:rPr>
      </w:pPr>
      <w:r w:rsidRPr="00666DCB">
        <w:rPr>
          <w:rFonts w:ascii="Tahoma" w:eastAsia="Times New Roman" w:hAnsi="Tahoma" w:cs="B Zar" w:hint="cs"/>
          <w:color w:val="215868" w:themeColor="accent5" w:themeShade="80"/>
          <w:sz w:val="28"/>
          <w:szCs w:val="28"/>
          <w:rtl/>
        </w:rPr>
        <w:t xml:space="preserve">برنامه ريزی و اجرای طرحهای ترويجی در زمينه توليد محصولات سالم و ارگانيك ، نظارت و حمايت از عاملين ترويجی با تاكيد بر كشاورزان خبره ، تسهيل گران روستايی ، مددكاران ترويجی ، شركتهای خدمات مشاوره ای ، معرفی و حمايت از بهره برداران ، استفاده از روش هاي نوين آموزشي در جهت ارتقاء سطح آگاهي ، مهارت ، دانش و بينش بهره برداران بخش كشاورزي و انتقال تبادل اطلاعات و دستاوردهاي تحقيقاتي و فنون جديد كشاورزي در سطح مزارع به كشاورزان </w:t>
      </w:r>
    </w:p>
    <w:p w:rsidR="0009518D" w:rsidRDefault="0009518D" w:rsidP="00666DCB">
      <w:pPr>
        <w:jc w:val="center"/>
      </w:pPr>
      <w:bookmarkStart w:id="0" w:name="_GoBack"/>
      <w:bookmarkEnd w:id="0"/>
    </w:p>
    <w:sectPr w:rsidR="000951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CB"/>
    <w:rsid w:val="0009518D"/>
    <w:rsid w:val="0066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</dc:creator>
  <cp:lastModifiedBy>asan</cp:lastModifiedBy>
  <cp:revision>1</cp:revision>
  <dcterms:created xsi:type="dcterms:W3CDTF">2021-02-20T09:51:00Z</dcterms:created>
  <dcterms:modified xsi:type="dcterms:W3CDTF">2021-02-20T09:51:00Z</dcterms:modified>
</cp:coreProperties>
</file>